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2414270" cy="307975"/>
            <wp:effectExtent l="0" t="0" r="5080" b="15875"/>
            <wp:docPr id="7" name="图片 1" descr="说明: id:21474954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说明: id:2147495474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1427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9" name="图片 20" descr="说明: id:21474957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0" descr="说明: id:2147495704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仿宋_GBK"/>
        </w:rPr>
        <w:t>让学生亲自经历学习过程。即让学生在动手操作—探究算法—举例验证—交流评价—确定法则等一系列生活中经历“分数乘分数”计算法则的形成过程。这里关注了让学生自己去做、去悟、去经历、去体验、去创造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同时也关注了学生解题策略的自主选择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关注了合作意识的培养。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仿宋_GBK"/>
        </w:rPr>
        <w:t>利用图形语言不够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要给学生较多的时间去动手操作并加以指导。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479D5"/>
    <w:rsid w:val="5D8479D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2018-08-15T08:50:00Z</dcterms:created>
  <dc:creator>123</dc:creator>
  <cp:lastModifiedBy>123</cp:lastModifiedBy>
  <dcterms:modified xsi:type="dcterms:W3CDTF">2018-08-15T08:50:58Z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